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7"/>
        <w:gridCol w:w="1346"/>
        <w:gridCol w:w="3052"/>
        <w:gridCol w:w="1310"/>
        <w:gridCol w:w="3156"/>
        <w:gridCol w:w="15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2020年财政拨款收支预算总表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单位名称：市二医院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 入 项 目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 算 数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 济 分 类 支 出 项 目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31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 能 分 类 支 出 项 目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30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一、本年支出合计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一、本年支出合计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1、财政拨款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30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1、基本支出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【201】一般公共服务支出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(1)经费拨款（补助）</w:t>
            </w:r>
          </w:p>
        </w:tc>
        <w:tc>
          <w:tcPr>
            <w:tcW w:w="1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(1)工资福利支出</w:t>
            </w:r>
          </w:p>
        </w:tc>
        <w:tc>
          <w:tcPr>
            <w:tcW w:w="13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【202】外交支出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(2)纳入预算管理的行政事业性收费安排的拨款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(2)商品和服务支出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【203】国防支出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(3)纳入预算管理的罚没收入安排的拨款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(3)对个人和家庭补助支出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【204】公共安全支出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(4)纳入预算管理的政府性基金收入安排的拨款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2、项目支出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【205】教育支出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(5)纳入预算管理的专项收入安排的拨款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【206】科学技术支出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(6)纳入预算管理的国有资产有偿使用收入安排的拨款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【207】文化体育与传媒支出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【208】社会保障和就业支出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2、捐赠收入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【209】社会保险基金支出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3、公共预算上年结转资金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【210】医疗卫生与计划生育支出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【211】节能环保支出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【212】城乡社区支出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【213】农林水支出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【214】交通运输支出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【215】资源勘探信息等支出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【216】商业服务业等支出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【217】金融支出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【219】援助其他地区支出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【220】国土海洋气象等支出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【221】住房保障支出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【222】粮油物资储备支出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【223】国有资本经营预算支出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【224】灾害防治及应急管理支持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【227】预备费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【229】其他支出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【230】转移性支出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【231】债务还本支出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【232】债务付息支出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【233】债务发行费用支出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二、结转下年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二、结转下年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04FA"/>
    <w:rsid w:val="7D6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2020-06-11T01:14:00Z</dcterms:created>
  <dc:creator>会当凌绝顶</dc:creator>
  <cp:lastModifiedBy>会当凌绝顶</cp:lastModifiedBy>
  <dcterms:modified xsi:type="dcterms:W3CDTF">2020-06-11T01:17:19Z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